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酒々井町長　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</w:rPr>
      </w:pP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変更事項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1"/>
        </w:rPr>
        <w:t xml:space="preserve">  </w:t>
      </w: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68"/>
        <w:gridCol w:w="3887"/>
        <w:gridCol w:w="493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2240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tbl>
      <w:tblPr>
        <w:tblStyle w:val="3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77"/>
        <w:gridCol w:w="1518"/>
        <w:gridCol w:w="754"/>
        <w:gridCol w:w="2026"/>
        <w:gridCol w:w="2155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3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  <w:highlight w:val="yellow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773"/>
        <w:gridCol w:w="2320"/>
        <w:gridCol w:w="3193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0</Words>
  <Characters>547</Characters>
  <Application>JUST Note</Application>
  <Lines>434</Lines>
  <Paragraphs>91</Paragraphs>
  <CharactersWithSpaces>636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2018-06-06T04:31:00Z</dcterms:created>
  <dcterms:modified xsi:type="dcterms:W3CDTF">2025-04-15T05:27:10Z</dcterms:modified>
  <cp:revision>1</cp:revision>
</cp:coreProperties>
</file>